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LAGCGSKJFGS（L）003</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掘进工程：3305高抽巷、六采区3#瓦斯治理巷等巷道掘进工程；零星工程：3302回风巷修巷、中央水仓、二采区水仓、三采区水仓、六采区水仓清淤；钻孔零星工程：释放孔、效检孔、底板探煤孔、超前探孔；零星用工：巷道洒水降尘维护工、排水系统水仓维护工、运输系统维护工、安全生产标准化。</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2026年</w:t>
      </w:r>
      <w:r>
        <w:rPr>
          <w:rFonts w:hint="eastAsia" w:ascii="宋体" w:hAnsi="宋体" w:cs="宋体"/>
          <w:color w:val="000000" w:themeColor="text1"/>
          <w:sz w:val="24"/>
          <w:szCs w:val="24"/>
          <w:highlight w:val="green"/>
          <w:lang w:val="en-US" w:eastAsia="zh-CN"/>
          <w14:textFill>
            <w14:solidFill>
              <w14:schemeClr w14:val="tx1"/>
            </w14:solidFill>
          </w14:textFill>
        </w:rPr>
        <w:t>1</w:t>
      </w:r>
      <w:r>
        <w:rPr>
          <w:rFonts w:hint="eastAsia" w:ascii="宋体" w:hAnsi="宋体" w:cs="宋体"/>
          <w:color w:val="000000" w:themeColor="text1"/>
          <w:sz w:val="24"/>
          <w:szCs w:val="24"/>
          <w:highlight w:val="green"/>
          <w:lang w:eastAsia="zh-C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8</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2026</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12</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31</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358天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43E72A3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七、工程最高控制价：井下巷道掘进及附属工程：企业管理费11.3/7.9%，利润7.7/5.3%，施工组织措施费0.78/0.54%；</w:t>
      </w:r>
    </w:p>
    <w:p w14:paraId="0FF9E8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地面安装工程：企业管理费20.8%，利润11.9%，施工组织措施费5.7%，井下安装工程：企业管理费15.9%，利润10.7%，施工组织措施费2.5%；</w:t>
      </w:r>
    </w:p>
    <w:p w14:paraId="4D83F55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超前探、释放钻、探煤孔、注浆孔等：φ94mm煤孔基价39元/米（不含税）；</w:t>
      </w:r>
    </w:p>
    <w:p w14:paraId="7B41F5C3">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井下签证工：171元/工日（不含税），地面签证工114元/工日（不含税）；</w:t>
      </w:r>
    </w:p>
    <w:p w14:paraId="772682E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井上下系统维护零星用工单价（不含税）：地面设施维护、料场维护及地面运输、装卸等用工152元/工日（不含税）；通风系统、排水系统、供配电系统变电所、监测监控、瓦斯抽采系统、安全生产标准化、局扇等看护维护用工218元/工日（不含税）；运输系统皮带维护用工266元/工日（不含税）；胶轮车、绞车运行及维护用工256元/工日（不含税）；安全、通风巡查工332元/工日（不含税）；生产辅助、采掘安装辅助工380元/工日（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green"/>
          <w:u w:val="single"/>
          <w:lang w:val="en-US" w:eastAsia="zh-CN"/>
          <w14:textFill>
            <w14:solidFill>
              <w14:schemeClr w14:val="tx1"/>
            </w14:solidFill>
          </w14:textFill>
        </w:rPr>
        <w:t>1月7日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2026年1月6日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三、计算规则：合同价款计算办法：</w:t>
      </w:r>
    </w:p>
    <w:p w14:paraId="56ECF20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eastAsia="zh-CN"/>
        </w:rPr>
        <w:t>工程价款按规定的工程造价计算程序计算，</w:t>
      </w:r>
      <w:r>
        <w:rPr>
          <w:rFonts w:hint="eastAsia" w:ascii="宋体" w:hAnsi="宋体" w:cs="宋体"/>
          <w:color w:val="auto"/>
          <w:sz w:val="24"/>
          <w:szCs w:val="24"/>
          <w:highlight w:val="none"/>
          <w:u w:val="single"/>
          <w:lang w:val="en-US" w:eastAsia="zh-CN"/>
        </w:rPr>
        <w:t>井下巷道掘进及附属工程、地面安装工程、井下安装工程工程企业管理费、利润、施工组织措施费按照双方谈判完成的费率计取</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巷道维修、零星</w:t>
      </w:r>
      <w:r>
        <w:rPr>
          <w:rFonts w:hint="eastAsia" w:ascii="宋体" w:hAnsi="宋体" w:cs="宋体"/>
          <w:color w:val="auto"/>
          <w:sz w:val="24"/>
          <w:szCs w:val="24"/>
          <w:highlight w:val="none"/>
          <w:u w:val="single"/>
          <w:lang w:val="en-US" w:eastAsia="zh-CN"/>
        </w:rPr>
        <w:t>签证</w:t>
      </w:r>
      <w:r>
        <w:rPr>
          <w:rFonts w:hint="eastAsia" w:ascii="宋体" w:hAnsi="宋体" w:eastAsia="宋体" w:cs="宋体"/>
          <w:color w:val="auto"/>
          <w:sz w:val="24"/>
          <w:szCs w:val="24"/>
          <w:highlight w:val="none"/>
          <w:u w:val="single"/>
        </w:rPr>
        <w:t>工程及</w:t>
      </w:r>
      <w:r>
        <w:rPr>
          <w:rFonts w:hint="eastAsia" w:ascii="宋体" w:hAnsi="宋体" w:cs="宋体"/>
          <w:color w:val="auto"/>
          <w:sz w:val="24"/>
          <w:szCs w:val="24"/>
          <w:highlight w:val="none"/>
          <w:u w:val="single"/>
          <w:lang w:val="en-US" w:eastAsia="zh-CN"/>
        </w:rPr>
        <w:t>零星安装工程在上述双方谈判完成的费率的基础上税前按89%计取。</w:t>
      </w:r>
    </w:p>
    <w:p w14:paraId="3989694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辅助费：当巷道长度&lt;300米，工程结算时辅助费按2015定额基价标准的45%计取；当巷道长度≥300米，工程结算时辅助费按2015定额基价标准的38.9%计取（巷道长度指单位工程设计长度）；巷道维修、零星工程及其他签证工程，工程结算时辅助费按2015定额基价标准的35.22%计取。</w:t>
      </w:r>
    </w:p>
    <w:p w14:paraId="42A28AE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安全文明施工费按照2015定额基价标准执行，其中临时设施费按70%计取。</w:t>
      </w:r>
    </w:p>
    <w:p w14:paraId="709D39A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防治扬尘污染费和建筑工人实名制管理费按照中煤建协字【2020】84号文执行。</w:t>
      </w:r>
    </w:p>
    <w:p w14:paraId="3E128E0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规费按照煤炭工业邯郸工程造价管理站核准的上年度的费率执行。</w:t>
      </w:r>
    </w:p>
    <w:p w14:paraId="0E66D6F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人工价差按照潞安集团相关文件规定执行。</w:t>
      </w:r>
    </w:p>
    <w:p w14:paraId="64E58367">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机掘煤巷循环排距≤1米，并采用短掘短支施工工艺的按照以下系数调整：充填工作面巷道直接费中掘进、支护相应子目，人工、机械以1.1系数调整，辅助费以1.1系数调整；其他成本巷道直接费中掘进、支护相应子目，人工、机械以1.23系数调整，辅助费以1.23系数调整（若因瓦斯、地质条件等影响造成巷道平均进尺低于定额进尺，需要另行批复降效系数时，不再执行短掘短支系数）。</w:t>
      </w:r>
    </w:p>
    <w:p w14:paraId="6EC3491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在巷道中施工的超前探、释放钻、探煤孔、注浆孔等钻孔：以Φ94mm煤孔为标准钻孔，基价按照双方谈判完成的单价（不含税）计取；煤孔按不同瓦斯含量取不同系数（W＜8m³/t，取1.05系数；8m³/t≤W＜12m³/t，取1.1系数；W≥12 m³/t，取1.15系数）；岩孔按煤孔基价的2倍计算；其余直径钻孔基价按标准孔径比例进行折算：折算后基价=基价×D/94元/米，D表示钻孔直径。</w:t>
      </w:r>
    </w:p>
    <w:p w14:paraId="3F36529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井下签证工、地面签证工按照双方谈判完成的单价（不含税）计取。</w:t>
      </w:r>
    </w:p>
    <w:p w14:paraId="1F65B81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井上下系统维护零星用工按照双方谈判完成的单价（不含税）计取。</w:t>
      </w:r>
    </w:p>
    <w:p w14:paraId="59B7A79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工程价款结算时，按定额消耗量扣减使用发包方的风、水、电及发包方提供的材料费用。</w:t>
      </w:r>
    </w:p>
    <w:p w14:paraId="605E6EB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578CF4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026351"/>
      <w:bookmarkStart w:id="1" w:name="_Toc389663453"/>
      <w:bookmarkStart w:id="2" w:name="_Toc384137522"/>
      <w:bookmarkStart w:id="3" w:name="_Toc383940877"/>
      <w:bookmarkStart w:id="4" w:name="_Toc389602796"/>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71493141"/>
      <w:bookmarkStart w:id="6" w:name="_Toc351203481"/>
      <w:bookmarkStart w:id="7" w:name="_Toc389586296"/>
      <w:bookmarkStart w:id="8" w:name="_Toc389663454"/>
      <w:bookmarkStart w:id="9" w:name="_Toc389602797"/>
      <w:bookmarkStart w:id="10" w:name="_Toc384137523"/>
      <w:bookmarkStart w:id="11" w:name="_Toc384026352"/>
      <w:bookmarkStart w:id="12" w:name="_Toc383940878"/>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3940880"/>
      <w:bookmarkStart w:id="14" w:name="_Toc384026354"/>
      <w:bookmarkStart w:id="15" w:name="_Toc384137525"/>
      <w:bookmarkStart w:id="16" w:name="_Toc389663456"/>
      <w:bookmarkStart w:id="17" w:name="_Toc389602799"/>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4137526"/>
      <w:bookmarkStart w:id="19" w:name="_Toc383940881"/>
      <w:bookmarkStart w:id="20" w:name="_Toc389602800"/>
      <w:bookmarkStart w:id="21" w:name="_Toc389663457"/>
      <w:bookmarkStart w:id="22" w:name="_Toc384026355"/>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137528"/>
      <w:bookmarkStart w:id="24" w:name="_Toc389602802"/>
      <w:bookmarkStart w:id="25" w:name="_Toc389663459"/>
      <w:bookmarkStart w:id="26" w:name="_Toc383940883"/>
      <w:bookmarkStart w:id="27" w:name="_Toc384026357"/>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02803"/>
      <w:bookmarkStart w:id="29" w:name="_Toc384026358"/>
      <w:bookmarkStart w:id="30" w:name="_Toc389663460"/>
      <w:bookmarkStart w:id="31" w:name="_Toc383940884"/>
      <w:bookmarkStart w:id="32" w:name="_Toc384137529"/>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137615"/>
      <w:bookmarkStart w:id="34" w:name="_Toc389663546"/>
      <w:bookmarkStart w:id="35" w:name="_Toc389602889"/>
      <w:bookmarkStart w:id="36" w:name="_Toc384026467"/>
      <w:bookmarkStart w:id="37" w:name="_Toc383940993"/>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4026469"/>
      <w:bookmarkStart w:id="39" w:name="_Toc384054024"/>
      <w:bookmarkStart w:id="40" w:name="_Toc389663548"/>
      <w:bookmarkStart w:id="41" w:name="_Toc389602891"/>
      <w:bookmarkStart w:id="42" w:name="_Toc384137617"/>
      <w:bookmarkStart w:id="43" w:name="_Toc383940995"/>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026470"/>
      <w:bookmarkStart w:id="55" w:name="_Toc389663554"/>
      <w:bookmarkStart w:id="56" w:name="_Toc383940996"/>
      <w:bookmarkStart w:id="57" w:name="_Toc384054025"/>
      <w:bookmarkStart w:id="58" w:name="_Toc384137618"/>
      <w:bookmarkStart w:id="59" w:name="_Toc389602897"/>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9602900"/>
      <w:bookmarkStart w:id="65" w:name="_Toc383940997"/>
      <w:bookmarkStart w:id="66" w:name="_Toc384137619"/>
      <w:bookmarkStart w:id="67" w:name="_Toc384054026"/>
      <w:bookmarkStart w:id="68" w:name="_Toc384026471"/>
      <w:bookmarkStart w:id="69" w:name="_Toc38966355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02903"/>
      <w:bookmarkStart w:id="75" w:name="_Toc389663560"/>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02904"/>
      <w:bookmarkStart w:id="77" w:name="_Toc389663561"/>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63562"/>
      <w:bookmarkStart w:id="80" w:name="_Toc389602905"/>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3940999"/>
      <w:bookmarkStart w:id="82" w:name="_Toc384054028"/>
      <w:bookmarkStart w:id="83" w:name="_Toc384026473"/>
      <w:bookmarkStart w:id="84" w:name="_Toc389663565"/>
      <w:bookmarkStart w:id="85" w:name="_Toc384137621"/>
      <w:bookmarkStart w:id="86" w:name="_Toc389602908"/>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02909"/>
      <w:bookmarkStart w:id="88" w:name="_Toc389663566"/>
      <w:bookmarkStart w:id="89" w:name="_Toc381037618"/>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02910"/>
      <w:bookmarkStart w:id="91" w:name="_Toc389663567"/>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63570"/>
      <w:bookmarkStart w:id="100" w:name="_Toc384137622"/>
      <w:bookmarkStart w:id="101" w:name="_Toc389602913"/>
      <w:bookmarkStart w:id="102" w:name="_Toc384054029"/>
      <w:bookmarkStart w:id="103" w:name="_Toc384026474"/>
      <w:bookmarkStart w:id="104" w:name="_Toc383941000"/>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02914"/>
      <w:bookmarkStart w:id="106" w:name="_Toc389663571"/>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02917"/>
      <w:bookmarkStart w:id="108" w:name="_Toc389663574"/>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63582"/>
      <w:bookmarkStart w:id="110" w:name="_Toc383941003"/>
      <w:bookmarkStart w:id="111" w:name="_Toc384026477"/>
      <w:bookmarkStart w:id="112" w:name="_Toc384054032"/>
      <w:bookmarkStart w:id="113" w:name="_Toc389602925"/>
      <w:bookmarkStart w:id="114" w:name="_Toc384137625"/>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26478"/>
      <w:bookmarkStart w:id="118" w:name="_Toc389663585"/>
      <w:bookmarkStart w:id="119" w:name="_Toc384054033"/>
      <w:bookmarkStart w:id="120" w:name="_Toc383941004"/>
      <w:bookmarkStart w:id="121" w:name="_Toc384137626"/>
      <w:bookmarkStart w:id="122" w:name="_Toc389602929"/>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26479"/>
      <w:bookmarkStart w:id="124" w:name="_Toc389663589"/>
      <w:bookmarkStart w:id="125" w:name="_Toc384137627"/>
      <w:bookmarkStart w:id="126" w:name="_Toc389602932"/>
      <w:bookmarkStart w:id="127" w:name="_Toc384054034"/>
      <w:bookmarkStart w:id="128" w:name="_Toc383941005"/>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63591"/>
      <w:bookmarkStart w:id="131" w:name="_Toc389602933"/>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4137628"/>
      <w:bookmarkStart w:id="133" w:name="_Toc389602935"/>
      <w:bookmarkStart w:id="134" w:name="_Toc389663592"/>
      <w:bookmarkStart w:id="135" w:name="_Toc383941006"/>
      <w:bookmarkStart w:id="136" w:name="_Toc384026480"/>
      <w:bookmarkStart w:id="137" w:name="_Toc384054035"/>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02936"/>
      <w:bookmarkStart w:id="139" w:name="_Toc389663593"/>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54036"/>
      <w:bookmarkStart w:id="141" w:name="_Toc389663596"/>
      <w:bookmarkStart w:id="142" w:name="_Toc384137629"/>
      <w:bookmarkStart w:id="143" w:name="_Toc384026481"/>
      <w:bookmarkStart w:id="144" w:name="_Toc389602939"/>
      <w:bookmarkStart w:id="145" w:name="_Toc383941007"/>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63598"/>
      <w:bookmarkStart w:id="149" w:name="_Toc389602941"/>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54039"/>
      <w:bookmarkStart w:id="151" w:name="_Toc383941010"/>
      <w:bookmarkStart w:id="152" w:name="_Toc384026484"/>
      <w:bookmarkStart w:id="153" w:name="_Toc389602947"/>
      <w:bookmarkStart w:id="154" w:name="_Toc384137632"/>
      <w:bookmarkStart w:id="155" w:name="_Toc389663606"/>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63607"/>
      <w:bookmarkStart w:id="157" w:name="_Toc389602948"/>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w:t>
            </w:r>
            <w:bookmarkStart w:id="160" w:name="_GoBack"/>
            <w:bookmarkEnd w:id="160"/>
            <w:r>
              <w:rPr>
                <w:rFonts w:hint="eastAsia" w:ascii="宋体" w:hAnsi="宋体" w:cs="宋体"/>
                <w:color w:val="000000" w:themeColor="text1"/>
                <w:sz w:val="24"/>
                <w:szCs w:val="24"/>
                <w:lang w:eastAsia="zh-CN"/>
                <w14:textFill>
                  <w14:solidFill>
                    <w14:schemeClr w14:val="tx1"/>
                  </w14:solidFill>
                </w14:textFill>
              </w:rPr>
              <w:t>2024年</w:t>
            </w:r>
            <w:r>
              <w:rPr>
                <w:rFonts w:hint="eastAsia" w:ascii="宋体" w:hAnsi="宋体" w:eastAsia="宋体" w:cs="宋体"/>
                <w:color w:val="000000" w:themeColor="text1"/>
                <w:sz w:val="24"/>
                <w:szCs w:val="24"/>
                <w14:textFill>
                  <w14:solidFill>
                    <w14:schemeClr w14:val="tx1"/>
                  </w14:solidFill>
                </w14:textFill>
              </w:rPr>
              <w:t>）经审计的年终审计财务报告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LAGCGSKJFGS（L）003</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20" w:type="dxa"/>
            <w:gridSpan w:val="3"/>
            <w:shd w:val="clear" w:color="auto" w:fill="auto"/>
            <w:noWrap w:val="0"/>
            <w:vAlign w:val="center"/>
          </w:tcPr>
          <w:p w14:paraId="4FEEA1A6">
            <w:pPr>
              <w:spacing w:line="360" w:lineRule="auto"/>
              <w:jc w:val="both"/>
              <w:rPr>
                <w:rFonts w:hint="default"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20" w:type="dxa"/>
            <w:gridSpan w:val="3"/>
            <w:shd w:val="clear" w:color="auto" w:fill="auto"/>
            <w:noWrap w:val="0"/>
            <w:vAlign w:val="center"/>
          </w:tcPr>
          <w:p w14:paraId="2CB71154">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358天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20" w:type="dxa"/>
            <w:gridSpan w:val="3"/>
            <w:shd w:val="clear" w:color="auto" w:fill="auto"/>
            <w:noWrap w:val="0"/>
            <w:vAlign w:val="center"/>
          </w:tcPr>
          <w:p w14:paraId="191057B5">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5F7EEFED">
      <w:pPr>
        <w:rPr>
          <w:rFonts w:hint="eastAsia" w:ascii="宋体" w:hAnsi="宋体" w:cs="宋体"/>
          <w:color w:val="000000" w:themeColor="text1"/>
          <w:sz w:val="28"/>
          <w:szCs w:val="28"/>
          <w:u w:val="single"/>
          <w:lang w:val="en-US" w:eastAsia="zh-CN"/>
          <w14:textFill>
            <w14:solidFill>
              <w14:schemeClr w14:val="tx1"/>
            </w14:solidFill>
          </w14:textFill>
        </w:rPr>
      </w:pPr>
    </w:p>
    <w:p w14:paraId="6E9A2532">
      <w:pPr>
        <w:rPr>
          <w:rFonts w:hint="eastAsia" w:ascii="宋体" w:hAnsi="宋体" w:cs="宋体"/>
          <w:color w:val="000000" w:themeColor="text1"/>
          <w:sz w:val="28"/>
          <w:szCs w:val="28"/>
          <w:u w:val="single"/>
          <w:lang w:val="en-US" w:eastAsia="zh-CN"/>
          <w14:textFill>
            <w14:solidFill>
              <w14:schemeClr w14:val="tx1"/>
            </w14:solidFill>
          </w14:textFill>
        </w:rPr>
      </w:pPr>
    </w:p>
    <w:p w14:paraId="6C253E90">
      <w:pPr>
        <w:rPr>
          <w:rFonts w:hint="eastAsia" w:ascii="宋体" w:hAnsi="宋体" w:cs="宋体"/>
          <w:color w:val="000000" w:themeColor="text1"/>
          <w:sz w:val="20"/>
          <w:szCs w:val="20"/>
          <w:u w:val="none"/>
          <w:lang w:val="en-US" w:eastAsia="zh-CN"/>
          <w14:textFill>
            <w14:solidFill>
              <w14:schemeClr w14:val="tx1"/>
            </w14:solidFill>
          </w14:textFill>
        </w:rPr>
      </w:pPr>
    </w:p>
    <w:p w14:paraId="3D5653BA">
      <w:pPr>
        <w:rPr>
          <w:rFonts w:hint="eastAsia" w:ascii="宋体" w:hAnsi="宋体" w:cs="宋体"/>
          <w:color w:val="000000" w:themeColor="text1"/>
          <w:sz w:val="20"/>
          <w:szCs w:val="20"/>
          <w:u w:val="none"/>
          <w:lang w:val="en-US" w:eastAsia="zh-CN"/>
          <w14:textFill>
            <w14:solidFill>
              <w14:schemeClr w14:val="tx1"/>
            </w14:solidFill>
          </w14:textFill>
        </w:rPr>
      </w:pPr>
      <w:r>
        <w:rPr>
          <w:rFonts w:hint="eastAsia" w:ascii="宋体" w:hAnsi="宋体" w:cs="宋体"/>
          <w:color w:val="000000" w:themeColor="text1"/>
          <w:sz w:val="20"/>
          <w:szCs w:val="20"/>
          <w:u w:val="none"/>
          <w:lang w:val="en-US" w:eastAsia="zh-CN"/>
          <w14:textFill>
            <w14:solidFill>
              <w14:schemeClr w14:val="tx1"/>
            </w14:solidFill>
          </w14:textFill>
        </w:rPr>
        <w:t>附表：</w:t>
      </w:r>
    </w:p>
    <w:p w14:paraId="75E70F98">
      <w:pPr>
        <w:rPr>
          <w:rFonts w:hint="default" w:ascii="宋体" w:hAnsi="宋体" w:eastAsia="宋体" w:cs="宋体"/>
          <w:color w:val="000000" w:themeColor="text1"/>
          <w:sz w:val="20"/>
          <w:szCs w:val="20"/>
          <w:u w:val="single"/>
          <w:lang w:val="en-US" w:eastAsia="zh-CN"/>
          <w14:textFill>
            <w14:solidFill>
              <w14:schemeClr w14:val="tx1"/>
            </w14:solidFill>
          </w14:textFill>
        </w:rPr>
      </w:pPr>
      <w:r>
        <w:rPr>
          <w:rFonts w:hint="eastAsia" w:ascii="宋体" w:hAnsi="宋体" w:cs="宋体"/>
          <w:color w:val="000000" w:themeColor="text1"/>
          <w:sz w:val="20"/>
          <w:szCs w:val="20"/>
          <w:u w:val="none"/>
          <w:lang w:val="en-US" w:eastAsia="zh-CN"/>
          <w14:textFill>
            <w14:solidFill>
              <w14:schemeClr w14:val="tx1"/>
            </w14:solidFill>
          </w14:textFill>
        </w:rPr>
        <w:t>报价单位</w:t>
      </w:r>
      <w:r>
        <w:rPr>
          <w:rFonts w:hint="eastAsia" w:ascii="宋体" w:hAnsi="宋体" w:cs="宋体"/>
          <w:color w:val="000000" w:themeColor="text1"/>
          <w:sz w:val="20"/>
          <w:szCs w:val="20"/>
          <w:u w:val="single"/>
          <w:lang w:val="en-US" w:eastAsia="zh-CN"/>
          <w14:textFill>
            <w14:solidFill>
              <w14:schemeClr w14:val="tx1"/>
            </w14:solidFill>
          </w14:textFill>
        </w:rPr>
        <w:t xml:space="preserve">：                      </w:t>
      </w:r>
    </w:p>
    <w:tbl>
      <w:tblPr>
        <w:tblStyle w:val="16"/>
        <w:tblW w:w="9617"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7"/>
        <w:gridCol w:w="2994"/>
        <w:gridCol w:w="1443"/>
        <w:gridCol w:w="1443"/>
        <w:gridCol w:w="1674"/>
        <w:gridCol w:w="1076"/>
      </w:tblGrid>
      <w:tr w14:paraId="07E93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388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名称</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7E08">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类别</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618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i w:val="0"/>
                <w:iCs w:val="0"/>
                <w:color w:val="auto"/>
                <w:kern w:val="0"/>
                <w:sz w:val="20"/>
                <w:szCs w:val="20"/>
                <w:u w:val="none"/>
                <w:lang w:val="en-US" w:eastAsia="zh-CN" w:bidi="ar"/>
              </w:rPr>
              <w:t>企业管理费</w:t>
            </w:r>
          </w:p>
          <w:p w14:paraId="04F664F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0FC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i w:val="0"/>
                <w:iCs w:val="0"/>
                <w:color w:val="auto"/>
                <w:kern w:val="0"/>
                <w:sz w:val="20"/>
                <w:szCs w:val="20"/>
                <w:u w:val="none"/>
                <w:lang w:val="en-US" w:eastAsia="zh-CN" w:bidi="ar"/>
              </w:rPr>
              <w:t>利润</w:t>
            </w:r>
          </w:p>
          <w:p w14:paraId="1A1EB236">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905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i w:val="0"/>
                <w:iCs w:val="0"/>
                <w:color w:val="auto"/>
                <w:kern w:val="0"/>
                <w:sz w:val="20"/>
                <w:szCs w:val="20"/>
                <w:u w:val="none"/>
                <w:lang w:val="en-US" w:eastAsia="zh-CN" w:bidi="ar"/>
              </w:rPr>
              <w:t>施工组织措施费</w:t>
            </w:r>
          </w:p>
          <w:p w14:paraId="2033B819">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DBF9F">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备注</w:t>
            </w:r>
          </w:p>
        </w:tc>
      </w:tr>
      <w:tr w14:paraId="10EED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DD97F1A">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限价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F13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79F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11.3/7.9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161D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7.7/5.3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EE7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0.</w:t>
            </w:r>
            <w:r>
              <w:rPr>
                <w:rFonts w:hint="eastAsia" w:ascii="宋体" w:hAnsi="宋体" w:cs="宋体"/>
                <w:i w:val="0"/>
                <w:iCs w:val="0"/>
                <w:color w:val="auto"/>
                <w:kern w:val="0"/>
                <w:sz w:val="20"/>
                <w:szCs w:val="20"/>
                <w:u w:val="none"/>
                <w:lang w:val="en-US" w:eastAsia="zh-CN" w:bidi="ar"/>
              </w:rPr>
              <w:t>78/0.54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93D9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F287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35916B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F19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6649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20.8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E08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11.9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A1D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5.7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378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7383F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E8B57E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263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CC6C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15.9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B004C">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10.7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6095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2.5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DFDE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9E6B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A9F7CC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AD9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2563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φ94mm煤孔基价</w:t>
            </w:r>
            <w:r>
              <w:rPr>
                <w:rFonts w:hint="eastAsia" w:ascii="宋体" w:hAnsi="宋体" w:cs="宋体"/>
                <w:i w:val="0"/>
                <w:iCs w:val="0"/>
                <w:color w:val="auto"/>
                <w:kern w:val="0"/>
                <w:sz w:val="20"/>
                <w:szCs w:val="20"/>
                <w:u w:val="none"/>
                <w:lang w:val="en-US" w:eastAsia="zh-CN" w:bidi="ar"/>
              </w:rPr>
              <w:t>39</w:t>
            </w:r>
            <w:r>
              <w:rPr>
                <w:rFonts w:hint="eastAsia" w:ascii="宋体" w:hAnsi="宋体" w:eastAsia="宋体" w:cs="宋体"/>
                <w:i w:val="0"/>
                <w:iCs w:val="0"/>
                <w:color w:val="auto"/>
                <w:kern w:val="0"/>
                <w:sz w:val="20"/>
                <w:szCs w:val="20"/>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D68D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3547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21AC50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1C6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CF4C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 </w:t>
            </w:r>
            <w:r>
              <w:rPr>
                <w:rFonts w:hint="eastAsia" w:ascii="宋体" w:hAnsi="宋体" w:cs="宋体"/>
                <w:i w:val="0"/>
                <w:iCs w:val="0"/>
                <w:color w:val="auto"/>
                <w:kern w:val="0"/>
                <w:sz w:val="20"/>
                <w:szCs w:val="20"/>
                <w:u w:val="none"/>
                <w:lang w:val="en-US" w:eastAsia="zh-CN" w:bidi="ar"/>
              </w:rPr>
              <w:t>171</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02C0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A49A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286E2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C18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17564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11</w:t>
            </w:r>
            <w:r>
              <w:rPr>
                <w:rFonts w:hint="eastAsia" w:ascii="宋体" w:hAnsi="宋体" w:cs="宋体"/>
                <w:i w:val="0"/>
                <w:iCs w:val="0"/>
                <w:color w:val="auto"/>
                <w:kern w:val="0"/>
                <w:sz w:val="20"/>
                <w:szCs w:val="20"/>
                <w:u w:val="none"/>
                <w:lang w:val="en-US" w:eastAsia="zh-CN" w:bidi="ar"/>
              </w:rPr>
              <w:t>4</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C8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3CC5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717D09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0D2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26547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152</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92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C217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9" w:hRule="exact"/>
        </w:trPr>
        <w:tc>
          <w:tcPr>
            <w:tcW w:w="987" w:type="dxa"/>
            <w:vMerge w:val="continue"/>
            <w:tcBorders>
              <w:left w:val="single" w:color="000000" w:sz="4" w:space="0"/>
              <w:right w:val="single" w:color="000000" w:sz="4" w:space="0"/>
            </w:tcBorders>
            <w:shd w:val="clear" w:color="auto" w:fill="auto"/>
            <w:vAlign w:val="center"/>
          </w:tcPr>
          <w:p w14:paraId="52A5E1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7E3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945E7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218</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D7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850B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9DBB4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72D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C9048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26</w:t>
            </w:r>
            <w:r>
              <w:rPr>
                <w:rFonts w:hint="eastAsia" w:ascii="宋体" w:hAnsi="宋体" w:cs="宋体"/>
                <w:i w:val="0"/>
                <w:iCs w:val="0"/>
                <w:color w:val="auto"/>
                <w:kern w:val="0"/>
                <w:sz w:val="20"/>
                <w:szCs w:val="20"/>
                <w:u w:val="none"/>
                <w:lang w:val="en-US" w:eastAsia="zh-CN" w:bidi="ar"/>
              </w:rPr>
              <w:t>6</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235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FC66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47F92D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913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28E84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25</w:t>
            </w:r>
            <w:r>
              <w:rPr>
                <w:rFonts w:hint="eastAsia" w:ascii="宋体" w:hAnsi="宋体" w:cs="宋体"/>
                <w:i w:val="0"/>
                <w:iCs w:val="0"/>
                <w:color w:val="auto"/>
                <w:kern w:val="0"/>
                <w:sz w:val="20"/>
                <w:szCs w:val="20"/>
                <w:u w:val="none"/>
                <w:lang w:val="en-US" w:eastAsia="zh-CN" w:bidi="ar"/>
              </w:rPr>
              <w:t>6</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3D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9B5B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91FE78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349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E161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332</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CA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DEAD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3EAD750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30F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FDDBF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w:t>
            </w:r>
            <w:r>
              <w:rPr>
                <w:rFonts w:hint="eastAsia" w:ascii="宋体" w:hAnsi="宋体" w:cs="宋体"/>
                <w:i w:val="0"/>
                <w:iCs w:val="0"/>
                <w:color w:val="auto"/>
                <w:kern w:val="0"/>
                <w:sz w:val="20"/>
                <w:szCs w:val="20"/>
                <w:u w:val="none"/>
                <w:lang w:val="en-US" w:eastAsia="zh-CN" w:bidi="ar"/>
              </w:rPr>
              <w:t>8</w:t>
            </w:r>
            <w:r>
              <w:rPr>
                <w:rFonts w:hint="eastAsia" w:ascii="宋体" w:hAnsi="宋体" w:eastAsia="宋体" w:cs="宋体"/>
                <w:i w:val="0"/>
                <w:iCs w:val="0"/>
                <w:color w:val="auto"/>
                <w:kern w:val="0"/>
                <w:sz w:val="20"/>
                <w:szCs w:val="20"/>
                <w:u w:val="none"/>
                <w:lang w:val="en-US" w:eastAsia="zh-CN" w:bidi="ar"/>
              </w:rPr>
              <w:t>0元/工日（不含税）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008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232F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3F62108B">
            <w:pPr>
              <w:keepNext w:val="0"/>
              <w:keepLines w:val="0"/>
              <w:widowControl/>
              <w:suppressLineNumbers w:val="0"/>
              <w:jc w:val="center"/>
              <w:textAlignment w:val="center"/>
              <w:rPr>
                <w:rFonts w:hint="eastAsia" w:ascii="宋体" w:hAnsi="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基础</w:t>
            </w:r>
          </w:p>
          <w:p w14:paraId="128464D7">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B41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3EF2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21E4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F5D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EF4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D2F1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739015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A99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1710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D0E3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4667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68A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F906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CB20C2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BA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AEF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E8E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203D">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2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F2A5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32B5C4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B034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B1A08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φ94mm煤孔基价</w:t>
            </w: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89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5435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B18A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DB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01BC5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0E0E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7428A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34320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AF7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39705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FE2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BAC8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139A9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C5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052E0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F47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8303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8" w:hRule="exact"/>
        </w:trPr>
        <w:tc>
          <w:tcPr>
            <w:tcW w:w="987" w:type="dxa"/>
            <w:vMerge w:val="continue"/>
            <w:tcBorders>
              <w:left w:val="single" w:color="000000" w:sz="4" w:space="0"/>
              <w:right w:val="single" w:color="000000" w:sz="4" w:space="0"/>
            </w:tcBorders>
            <w:shd w:val="clear" w:color="auto" w:fill="auto"/>
            <w:vAlign w:val="center"/>
          </w:tcPr>
          <w:p w14:paraId="5EF69F0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5AE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395E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DC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19E06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0A7F52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F2B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8CB25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696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3536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FED3C2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24F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588B6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12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9D84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E16B6B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CC1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9DBC9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429A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1F27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70CB2F8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88F6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A5BE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6FF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1753D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52F019B">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最终确认报价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58F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D7A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FF9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3E3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37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E1CF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C6D2F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73E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11AF">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394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FAB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E81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6C473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547BF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BFB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81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64C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D2E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CA45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08AD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1984F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8564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BA154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φ94mm煤孔基价</w:t>
            </w: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8C2A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69BA9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42DC40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623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ABD0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664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3DCC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4210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151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ECCC4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725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745A7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DF83B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751A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1F57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E4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3753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exact"/>
        </w:trPr>
        <w:tc>
          <w:tcPr>
            <w:tcW w:w="987" w:type="dxa"/>
            <w:vMerge w:val="continue"/>
            <w:tcBorders>
              <w:left w:val="single" w:color="000000" w:sz="4" w:space="0"/>
              <w:right w:val="single" w:color="000000" w:sz="4" w:space="0"/>
            </w:tcBorders>
            <w:shd w:val="clear" w:color="auto" w:fill="auto"/>
            <w:vAlign w:val="center"/>
          </w:tcPr>
          <w:p w14:paraId="567A68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A37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EE74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CF7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7861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00C4A8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76C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06567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E75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252C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CC4A1F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B130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D29A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AA3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A07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9232B3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40B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E2869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E5C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1773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444747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A7C5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600D8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1EF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bl>
    <w:p w14:paraId="15BE3549">
      <w:pPr>
        <w:rPr>
          <w:rFonts w:hint="eastAsia" w:ascii="宋体" w:hAnsi="宋体" w:eastAsia="宋体" w:cs="宋体"/>
          <w:color w:val="000000" w:themeColor="text1"/>
          <w:sz w:val="28"/>
          <w:szCs w:val="28"/>
          <w:u w:val="single"/>
          <w14:textFill>
            <w14:solidFill>
              <w14:schemeClr w14:val="tx1"/>
            </w14:solidFill>
          </w14:textFill>
        </w:rPr>
      </w:pPr>
    </w:p>
    <w:p w14:paraId="40052416">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153CB5B9">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4A15787C">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6F9D4C8A">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2CDD788B">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311FF315">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1623973B">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39C5984C">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2D96CC96">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4C79FA"/>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9F5FD9"/>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01F02"/>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A3C45"/>
    <w:rsid w:val="66CB4B3F"/>
    <w:rsid w:val="66DA6628"/>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3C5E6D"/>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1E7D"/>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44</Pages>
  <Words>17605</Words>
  <Characters>18432</Characters>
  <Lines>173</Lines>
  <Paragraphs>48</Paragraphs>
  <TotalTime>1</TotalTime>
  <ScaleCrop>false</ScaleCrop>
  <LinksUpToDate>false</LinksUpToDate>
  <CharactersWithSpaces>20186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2026-01-08T09:38:27Z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D13A9FF7AF94485E8850888671B6A9D6_13</vt:lpwstr>
  </property>
  <property fmtid="{D5CDD505-2E9C-101B-9397-08002B2CF9AE}" pid="4" name="KSOTemplateDocerSaveRecord">
    <vt:lpwstr>eyJoZGlkIjoiOGM3MzFjN2VmYWE3ZjVlZWQwZWRiMzBmNzAzZmVkZjkiLCJ1c2VySWQiOiIzOTUxOTg4NTgifQ==</vt:lpwstr>
  </property>
</Properties>
</file>